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ДОЛГОСРОЧНОЙ АРЕНДЫ ЧАСТНОГО ЗЕМЕЛЬНОГО УЧАСТКА</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долгосрочное использование частного участка.</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jc w:val="both"/>
      </w:pPr>
      <w:r>
        <w:t>3.7. Изменение длительного срока и условий продления оформляется письменно; когда закон этого требует, изменение также регистрируется.</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Стороны совместно готовят и подают комплект документов для государственной регистрации в срок, указанный в разделе 3. Сторона, уклоняющаяся от подачи документов, возмещает другой стороне документально подтверждённые расходы и несёт иные предусмотренные законом последствия.</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долгосрочной аренды частного земельного участка</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