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участка по виду разрешённого использования.</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Любые особые условия использования объекта действуют только после их письменного согласования сторонами и не могут отменять обязательные требования закона.</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