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ДОГОВОР СУБАРЕНДЫ НЕЖИЛОГО ПОМЕЩЕНИЯ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нежилое помещение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номер: ______________________; площадь: __________ кв. 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этаж, номер и обозначение на плане: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назначение и допустимое использование: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ограничения, права третьих лиц и режим доступа: 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согласованная предпринимательская или иная законная деятельность.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Письменное согласие первоначального арендодателя получено до подписания договора и приложено к нему, если иной режим прямо не установлен законом или основным договором. Реквизиты согласия: № ______ от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Передаваемое вместе с Объектом оборудование и иное имущество перечисляются в описи. Не включенное в подписанную опись имущество не считается переданным, если Стороны не докажут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Субарендная плата: __________ руб. в месяц, НДС: включен / не облагается / начисляется дополнительно.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Срок субаренды: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Необходимость государственной регистрации определяется видом объекта, сроком и применимыми правилами статей 609 и 651 ГК РФ и Федерального закона № 218-ФЗ. Если регистрация обязательна, Стороны подают документы в срок ______ рабочих дней и распределяют расходы так: 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кадастровый номер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этаж, номер и обозначение на плане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допустимое использование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ограничения, права третьих лиц и режим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Стены, пол, потолок/корпус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 дает письменное согласие на указанную субаренду в пределах условий основного договора. Дополнительные условия: ______________________________________________________________________.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субаренды нежилого помещения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