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ДОЛГОСРОЧНОЙ АРЕНДЫ НЕЖИЛОГО ПОМЕЩЕНИЯ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долгосрочное использование помещения.</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jc w:val="both"/>
      </w:pPr>
      <w:r>
        <w:t>3.7. Изменение длительного срока и условий продления оформляется письменно; когда закон этого требует, изменение также регистрируется.</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jc w:val="both"/>
      </w:pPr>
      <w:r>
        <w:t>8.2. Стороны совместно готовят и подают комплект документов для государственной регистрации в срок, указанный в разделе 3. Сторона, уклоняющаяся от подачи документов, возмещает другой стороне документально подтверждённые расходы и несёт иные предусмотренные законом последствия.</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долгосрочной аренды нежилого помещения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