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ПРИЁМА-ПЕРЕДАЧИ НЕЖИЛОГО ПОМЕЩЕНИЯ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к договору аренды нежилого помещения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Адрес и этаж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Кадастровый номер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Площадь и назначение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и дата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Арендодатель передал, а арендатор принял нежилое помещение во владение и пользование в состоянии, указанном в настоящем акте.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Техническое и фактическое состояние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450"/>
        <w:gridCol w:w="3760"/>
        <w:gridCol w:w="3308"/>
      </w:tblGrid>
      <w:tr>
        <w:trPr>
          <w:tblHeader w:val="true"/>
        </w:trP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Элемент / система</w:t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 / работоспособность</w:t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Недостатки / срок устранения</w:t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Документы, доступ и приборы учёта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350"/>
        <w:gridCol w:w="2500"/>
        <w:gridCol w:w="2700"/>
        <w:gridCol w:w="1968"/>
      </w:tblGrid>
      <w:tr>
        <w:trPr>
          <w:tblHeader w:val="true"/>
        </w:trP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Передано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Номер / идентификатор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Количество / показание</w:t>
            </w:r>
          </w:p>
        </w:tc>
        <w:tc>
          <w:tcPr>
            <w:tcW w:type="dxa" w:w="196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Примечание</w:t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5.1. </w:t>
      </w:r>
      <w:r>
        <w:rPr>
          <w:rFonts w:ascii="Times New Roman" w:hAnsi="Times New Roman" w:eastAsia="Times New Roman" w:cs="Times New Roman"/>
          <w:color w:val="182536"/>
          <w:sz w:val="20"/>
        </w:rPr>
        <w:t>Цель использования и допустимая нагрузка определяются договором и обязательными требованиями, а не настоящим актом.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5.2. </w:t>
      </w:r>
      <w:r>
        <w:rPr>
          <w:rFonts w:ascii="Times New Roman" w:hAnsi="Times New Roman" w:eastAsia="Times New Roman" w:cs="Times New Roman"/>
          <w:color w:val="182536"/>
          <w:sz w:val="20"/>
        </w:rPr>
        <w:t>Передача помещения не подтверждает получение лицензий, согласований или разрешений, необходимых арендатору для его деятельности.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5.3. </w:t>
      </w:r>
      <w:r>
        <w:rPr>
          <w:rFonts w:ascii="Times New Roman" w:hAnsi="Times New Roman" w:eastAsia="Times New Roman" w:cs="Times New Roman"/>
          <w:color w:val="182536"/>
          <w:sz w:val="20"/>
        </w:rPr>
        <w:t>Перечень документов, принадлежностей и известных недостатков является приложением к факту передачи.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6.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статьи 611, 612 и 655 ГК РФ.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нежилого помещения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