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АКТ ПРИЁМА-ПЕРЕДАЧИ ГАРАЖА ИЛИ МАШИНО-МЕСТА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к договору аренды гаража, бокса или машино-места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Вид объекта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□ гараж  □ бокс  □ машино-место  □ иное 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Адрес / уровень / номер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Кадастровый номер / площадь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Договор и дата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Арендодатель передал, а арендатор принял указанный объект и средства доступа в фактическом состоянии, отражённом ниже.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Состояние объекта и оборудования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2600"/>
        <w:gridCol w:w="4100"/>
        <w:gridCol w:w="2818"/>
      </w:tblGrid>
      <w:tr>
        <w:trPr>
          <w:tblHeader w:val="true"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Элемент</w:t>
            </w:r>
          </w:p>
        </w:tc>
        <w:tc>
          <w:tcPr>
            <w:tcW w:type="dxa" w:w="41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Состояние / работоспособность</w:t>
            </w:r>
          </w:p>
        </w:tc>
        <w:tc>
          <w:tcPr>
            <w:tcW w:type="dxa" w:w="281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Недостатки / фото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Средства доступа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2200"/>
        <w:gridCol w:w="2850"/>
        <w:gridCol w:w="1700"/>
        <w:gridCol w:w="2768"/>
      </w:tblGrid>
      <w:tr>
        <w:trPr>
          <w:tblHeader w:val="true"/>
        </w:trP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Вид</w:t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Номер / идентификатор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Количество</w:t>
            </w:r>
          </w:p>
        </w:tc>
        <w:tc>
          <w:tcPr>
            <w:tcW w:type="dxa" w:w="276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Состояние / примечание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8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2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5.1. </w:t>
      </w:r>
      <w:r>
        <w:rPr>
          <w:rFonts w:ascii="Times New Roman" w:hAnsi="Times New Roman" w:eastAsia="Times New Roman" w:cs="Times New Roman"/>
          <w:color w:val="182536"/>
          <w:sz w:val="20"/>
        </w:rPr>
        <w:t>Границы машино-места или состав гаража позволяют однозначно определить переданный объект.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5.2. </w:t>
      </w:r>
      <w:r>
        <w:rPr>
          <w:rFonts w:ascii="Times New Roman" w:hAnsi="Times New Roman" w:eastAsia="Times New Roman" w:cs="Times New Roman"/>
          <w:color w:val="182536"/>
          <w:sz w:val="20"/>
        </w:rPr>
        <w:t>Правила паркинга, пропускной режим и требования пожарной безопасности сохраняют силу независимо от акта.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5.3. </w:t>
      </w:r>
      <w:r>
        <w:rPr>
          <w:rFonts w:ascii="Times New Roman" w:hAnsi="Times New Roman" w:eastAsia="Times New Roman" w:cs="Times New Roman"/>
          <w:color w:val="182536"/>
          <w:sz w:val="20"/>
        </w:rPr>
        <w:t>Сведения о работоспособности ворот, замков, освещения и доступа внесены по результатам совместной проверки.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6.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статьи 611 и 612 ГК РФ; для здания или сооружения также статья 655 ГК РФ.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приёма-передачи гаража или машино-места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